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1326"/>
        <w:gridCol w:w="2252"/>
        <w:gridCol w:w="1679"/>
      </w:tblGrid>
      <w:tr w:rsidR="00F76E05" w14:paraId="2AE797EF" w14:textId="77777777" w:rsidTr="00ED7F00">
        <w:tc>
          <w:tcPr>
            <w:tcW w:w="7345" w:type="dxa"/>
            <w:gridSpan w:val="4"/>
            <w:hideMark/>
          </w:tcPr>
          <w:p w14:paraId="5DA20005" w14:textId="60109C7C" w:rsidR="00F76E05" w:rsidRDefault="00F76E05" w:rsidP="004D0411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Pelastautuminen ja yöpyminen pelastuslautalla</w:t>
            </w:r>
          </w:p>
        </w:tc>
      </w:tr>
      <w:tr w:rsidR="00F76E05" w14:paraId="06C7FF5F" w14:textId="77777777" w:rsidTr="00ED7F00">
        <w:trPr>
          <w:trHeight w:val="455"/>
        </w:trPr>
        <w:tc>
          <w:tcPr>
            <w:tcW w:w="2088" w:type="dxa"/>
          </w:tcPr>
          <w:p w14:paraId="11BC76AE" w14:textId="77777777" w:rsidR="00F76E05" w:rsidRDefault="00F76E05" w:rsidP="004D0411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Koulutusjärjestelmä</w:t>
            </w:r>
          </w:p>
        </w:tc>
        <w:tc>
          <w:tcPr>
            <w:tcW w:w="1326" w:type="dxa"/>
          </w:tcPr>
          <w:p w14:paraId="0621B64C" w14:textId="25A06F00" w:rsidR="00F76E05" w:rsidRDefault="005A3F60" w:rsidP="004D041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</w:t>
            </w:r>
            <w:bookmarkStart w:id="0" w:name="_GoBack"/>
            <w:bookmarkEnd w:id="0"/>
            <w:r w:rsidR="00F76E05">
              <w:rPr>
                <w:rFonts w:cs="Arial"/>
              </w:rPr>
              <w:t>ansimies</w:t>
            </w:r>
          </w:p>
        </w:tc>
        <w:tc>
          <w:tcPr>
            <w:tcW w:w="3931" w:type="dxa"/>
            <w:gridSpan w:val="2"/>
          </w:tcPr>
          <w:p w14:paraId="565B4737" w14:textId="6930CEB1" w:rsidR="00F76E05" w:rsidRPr="00FC0991" w:rsidRDefault="005A3F60" w:rsidP="004D041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1.7</w:t>
            </w:r>
          </w:p>
        </w:tc>
      </w:tr>
      <w:tr w:rsidR="00F76E05" w14:paraId="54F216F4" w14:textId="77777777" w:rsidTr="00ED7F00">
        <w:tc>
          <w:tcPr>
            <w:tcW w:w="5666" w:type="dxa"/>
            <w:gridSpan w:val="3"/>
          </w:tcPr>
          <w:p w14:paraId="419C92B0" w14:textId="77777777" w:rsidR="00F76E05" w:rsidRDefault="00F76E05" w:rsidP="004D0411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Sisältää koulutussuunnitelman kohdan kokonaisuudessaan</w:t>
            </w:r>
          </w:p>
        </w:tc>
        <w:tc>
          <w:tcPr>
            <w:tcW w:w="1679" w:type="dxa"/>
          </w:tcPr>
          <w:p w14:paraId="2EB4461A" w14:textId="0D104B52" w:rsidR="00F76E05" w:rsidRDefault="009A3C1E" w:rsidP="004D041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F76E05" w14:paraId="64659B77" w14:textId="77777777" w:rsidTr="00ED7F00">
        <w:tc>
          <w:tcPr>
            <w:tcW w:w="2088" w:type="dxa"/>
            <w:hideMark/>
          </w:tcPr>
          <w:p w14:paraId="666781BA" w14:textId="77777777" w:rsidR="00F76E05" w:rsidRDefault="00F76E05" w:rsidP="004D041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Kesto</w:t>
            </w:r>
          </w:p>
        </w:tc>
        <w:tc>
          <w:tcPr>
            <w:tcW w:w="1326" w:type="dxa"/>
            <w:hideMark/>
          </w:tcPr>
          <w:p w14:paraId="2BE8BCC6" w14:textId="1053AEA0" w:rsidR="00F76E05" w:rsidRDefault="00F76E05" w:rsidP="004D041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n. 600 min</w:t>
            </w:r>
          </w:p>
        </w:tc>
        <w:tc>
          <w:tcPr>
            <w:tcW w:w="2252" w:type="dxa"/>
            <w:hideMark/>
          </w:tcPr>
          <w:p w14:paraId="1A9EC99B" w14:textId="77777777" w:rsidR="00F76E05" w:rsidRDefault="00F76E05" w:rsidP="004D0411">
            <w:pPr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Muokattu</w:t>
            </w:r>
          </w:p>
        </w:tc>
        <w:tc>
          <w:tcPr>
            <w:tcW w:w="1679" w:type="dxa"/>
            <w:hideMark/>
          </w:tcPr>
          <w:p w14:paraId="58A8F255" w14:textId="77777777" w:rsidR="00F76E05" w:rsidRDefault="00F76E05" w:rsidP="004D041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6.3.2017 / JHe</w:t>
            </w:r>
          </w:p>
        </w:tc>
      </w:tr>
    </w:tbl>
    <w:p w14:paraId="4686EFCB" w14:textId="49444771" w:rsidR="00660F91" w:rsidRPr="006E598F" w:rsidRDefault="00F76E05" w:rsidP="00246E4E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/>
      </w:r>
      <w:r w:rsidR="00660F91" w:rsidRPr="006E598F">
        <w:rPr>
          <w:rFonts w:cs="Arial"/>
          <w:b/>
          <w:sz w:val="24"/>
        </w:rPr>
        <w:t>T</w:t>
      </w:r>
      <w:r w:rsidR="00660F91">
        <w:rPr>
          <w:rFonts w:cs="Arial"/>
          <w:b/>
          <w:sz w:val="24"/>
        </w:rPr>
        <w:t>avoite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5"/>
      </w:tblGrid>
      <w:tr w:rsidR="00660F91" w:rsidRPr="006E598F" w14:paraId="4686EFCD" w14:textId="77777777">
        <w:tc>
          <w:tcPr>
            <w:tcW w:w="7485" w:type="dxa"/>
          </w:tcPr>
          <w:p w14:paraId="4686EFCC" w14:textId="77777777" w:rsidR="00660F91" w:rsidRPr="006E598F" w:rsidRDefault="00660F91" w:rsidP="00AB595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Parannetaan pelastautumistaitoja. Opitaan toiminta pelastuslautalla haastavissa olosuhteissa.</w:t>
            </w:r>
          </w:p>
        </w:tc>
      </w:tr>
    </w:tbl>
    <w:p w14:paraId="4686EFCF" w14:textId="22A7F7F5" w:rsidR="00660F91" w:rsidRPr="006E598F" w:rsidRDefault="00F76E05" w:rsidP="00246E4E">
      <w:pPr>
        <w:spacing w:after="0" w:line="240" w:lineRule="auto"/>
        <w:rPr>
          <w:rFonts w:cs="Arial"/>
          <w:b/>
        </w:rPr>
      </w:pPr>
      <w:r>
        <w:rPr>
          <w:rFonts w:cs="Arial"/>
          <w:b/>
          <w:sz w:val="24"/>
        </w:rPr>
        <w:br/>
      </w:r>
      <w:r w:rsidR="00660F91">
        <w:rPr>
          <w:rFonts w:cs="Arial"/>
          <w:b/>
          <w:sz w:val="24"/>
        </w:rPr>
        <w:t>Valmistelut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660F91" w:rsidRPr="006E598F" w14:paraId="4686EFD4" w14:textId="77777777">
        <w:tc>
          <w:tcPr>
            <w:tcW w:w="7485" w:type="dxa"/>
          </w:tcPr>
          <w:p w14:paraId="4686EFD3" w14:textId="5614F18D" w:rsidR="00660F91" w:rsidRPr="006E598F" w:rsidRDefault="00660F91" w:rsidP="00F76E0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Osallistujille ohjeet varustuksesta ja meritautilääkityksen hankkimisesta.</w:t>
            </w:r>
            <w:r w:rsidR="00F76E0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Pelastuslautan hankkiminen ja kuljetus harjoituspaikalle.</w:t>
            </w:r>
            <w:r w:rsidR="00F76E0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Pelastuslautan pumppaaminen ja tarkastus. Irtonaisten köysien kiinnittäminen.</w:t>
            </w:r>
            <w:r w:rsidR="00F76E0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Ilmoitus harjoituksesta meripelastuskeskukseen</w:t>
            </w:r>
            <w:r w:rsidR="00F76E05">
              <w:rPr>
                <w:rFonts w:cs="Arial"/>
              </w:rPr>
              <w:t xml:space="preserve"> tai hätäkeskukseen</w:t>
            </w:r>
            <w:r>
              <w:rPr>
                <w:rFonts w:cs="Arial"/>
              </w:rPr>
              <w:t>.</w:t>
            </w:r>
          </w:p>
        </w:tc>
      </w:tr>
    </w:tbl>
    <w:p w14:paraId="4686EFD6" w14:textId="44023061" w:rsidR="00660F91" w:rsidRPr="006E598F" w:rsidRDefault="00F76E05" w:rsidP="00246E4E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/>
        <w:t>Varusteet ja</w:t>
      </w:r>
      <w:r w:rsidR="00660F91">
        <w:rPr>
          <w:rFonts w:cs="Arial"/>
          <w:b/>
          <w:sz w:val="24"/>
        </w:rPr>
        <w:t xml:space="preserve"> henkilöstö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3249"/>
      </w:tblGrid>
      <w:tr w:rsidR="00660F91" w:rsidRPr="006E598F" w14:paraId="4686EFDF" w14:textId="77777777">
        <w:tc>
          <w:tcPr>
            <w:tcW w:w="4219" w:type="dxa"/>
          </w:tcPr>
          <w:p w14:paraId="4686EFD7" w14:textId="77777777" w:rsidR="00660F91" w:rsidRDefault="00660F91" w:rsidP="00AB595D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Pelastuslautta</w:t>
            </w:r>
          </w:p>
          <w:p w14:paraId="4686EFD8" w14:textId="77777777" w:rsidR="00660F91" w:rsidRDefault="00660F91" w:rsidP="00AB595D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Pelastuspuvut ja RT-liivit osallistujille</w:t>
            </w:r>
          </w:p>
          <w:p w14:paraId="4686EFD9" w14:textId="77777777" w:rsidR="00660F91" w:rsidRDefault="00660F91" w:rsidP="00AB595D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Sieni tai äyskäri veden poistamiseen</w:t>
            </w:r>
          </w:p>
          <w:p w14:paraId="4686EFDA" w14:textId="77777777" w:rsidR="00660F91" w:rsidRDefault="00660F91" w:rsidP="00AB595D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Tyhjä pullo </w:t>
            </w:r>
          </w:p>
          <w:p w14:paraId="4686EFDB" w14:textId="03E1449A" w:rsidR="00660F91" w:rsidRDefault="00660F91" w:rsidP="00246E4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Viestintävälineet (VHF-radio, kännykkä,  PLB, </w:t>
            </w:r>
            <w:r w:rsidR="00F76E05">
              <w:rPr>
                <w:rFonts w:cs="Arial"/>
              </w:rPr>
              <w:t>tms.</w:t>
            </w:r>
            <w:r>
              <w:rPr>
                <w:rFonts w:cs="Arial"/>
              </w:rPr>
              <w:t>)</w:t>
            </w:r>
          </w:p>
          <w:p w14:paraId="4686EFDC" w14:textId="77777777" w:rsidR="00660F91" w:rsidRDefault="00660F91" w:rsidP="00246E4E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Taskulamppu,</w:t>
            </w:r>
          </w:p>
          <w:p w14:paraId="4686EFDD" w14:textId="77777777" w:rsidR="00660F91" w:rsidRPr="00323EB3" w:rsidRDefault="00660F91" w:rsidP="00B9722A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Lämpöpeitteitä</w:t>
            </w:r>
          </w:p>
        </w:tc>
        <w:tc>
          <w:tcPr>
            <w:tcW w:w="3342" w:type="dxa"/>
          </w:tcPr>
          <w:p w14:paraId="4686EFDE" w14:textId="77777777" w:rsidR="00660F91" w:rsidRPr="008318D6" w:rsidRDefault="00660F91" w:rsidP="00AB595D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Pintapelastaja (puukko ja taskulamppu mukaan)</w:t>
            </w:r>
          </w:p>
        </w:tc>
      </w:tr>
    </w:tbl>
    <w:p w14:paraId="4686EFE1" w14:textId="345FF195" w:rsidR="00660F91" w:rsidRPr="006E598F" w:rsidRDefault="00F76E05" w:rsidP="00246E4E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/>
      </w:r>
      <w:r w:rsidR="00660F91">
        <w:rPr>
          <w:rFonts w:cs="Arial"/>
          <w:b/>
          <w:sz w:val="24"/>
        </w:rPr>
        <w:t>Turvallisuus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660F91" w:rsidRPr="006E598F" w14:paraId="4686EFE6" w14:textId="77777777">
        <w:tc>
          <w:tcPr>
            <w:tcW w:w="7485" w:type="dxa"/>
          </w:tcPr>
          <w:p w14:paraId="4686EFE5" w14:textId="259A442D" w:rsidR="00660F91" w:rsidRPr="006E598F" w:rsidRDefault="00660F91" w:rsidP="00F76E05">
            <w:pPr>
              <w:spacing w:after="0" w:line="240" w:lineRule="auto"/>
            </w:pPr>
            <w:r>
              <w:t>Lautta ankkuroidaan sopivaan paikkaan, jossa ei ole merkittävää liikennettä.</w:t>
            </w:r>
            <w:r w:rsidR="00F76E05">
              <w:t xml:space="preserve"> </w:t>
            </w:r>
            <w:r>
              <w:t>Harjoituksessa käytetään RT-liivejä tai pelastusliivejä (ei paukkuliivejä).</w:t>
            </w:r>
            <w:r w:rsidR="00F76E05">
              <w:t xml:space="preserve"> </w:t>
            </w:r>
            <w:r>
              <w:t>Harjoituspaikan läheisyydessä on turvavene nopeasti hälytettävissä.</w:t>
            </w:r>
            <w:r w:rsidR="00F76E05">
              <w:t xml:space="preserve"> </w:t>
            </w:r>
            <w:r>
              <w:t>Harjoituksessa on mukana kouluttaja, jolla on valaisin ja puukko.</w:t>
            </w:r>
            <w:r w:rsidR="00F76E05">
              <w:t xml:space="preserve"> </w:t>
            </w:r>
            <w:r>
              <w:t>Lautalla on koko ajan valveilla vähintään yksi tähystäjä, joka seuraa myös lautan kuntoa ja lautalla olevien turvallisuutta. Turvavene varmistaa välillä, että lautalla kaikki on ok ja viestiyhteydet toimivat.</w:t>
            </w:r>
          </w:p>
        </w:tc>
      </w:tr>
    </w:tbl>
    <w:p w14:paraId="4686EFE7" w14:textId="77777777" w:rsidR="00660F91" w:rsidRPr="006E598F" w:rsidRDefault="00660F91" w:rsidP="00246E4E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column"/>
      </w:r>
      <w:r>
        <w:rPr>
          <w:rFonts w:cs="Arial"/>
          <w:b/>
          <w:sz w:val="24"/>
        </w:rPr>
        <w:t>Sisältö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                      Aikajana</w:t>
      </w:r>
    </w:p>
    <w:tbl>
      <w:tblPr>
        <w:tblpPr w:leftFromText="141" w:rightFromText="141" w:vertAnchor="text" w:tblpY="1"/>
        <w:tblOverlap w:val="never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2"/>
      </w:tblGrid>
      <w:tr w:rsidR="00660F91" w:rsidRPr="006E598F" w14:paraId="4686EFEE" w14:textId="77777777">
        <w:tc>
          <w:tcPr>
            <w:tcW w:w="392" w:type="dxa"/>
            <w:shd w:val="clear" w:color="auto" w:fill="4F81BD"/>
          </w:tcPr>
          <w:p w14:paraId="4686EFE8" w14:textId="77777777" w:rsidR="00660F91" w:rsidRPr="006E598F" w:rsidRDefault="00660F91" w:rsidP="00AB595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812" w:type="dxa"/>
          </w:tcPr>
          <w:p w14:paraId="4686EFE9" w14:textId="77777777" w:rsidR="00660F91" w:rsidRPr="006E598F" w:rsidRDefault="00660F91" w:rsidP="00AB595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Aloitus ja järjestelyt</w:t>
            </w:r>
          </w:p>
          <w:p w14:paraId="4686EFEA" w14:textId="77777777" w:rsidR="00660F91" w:rsidRDefault="00660F91" w:rsidP="00AB595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Kerrotaan harjoituksen kulku</w:t>
            </w:r>
          </w:p>
          <w:p w14:paraId="4686EFEB" w14:textId="77777777" w:rsidR="00660F91" w:rsidRDefault="00660F91" w:rsidP="00AB595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Huomautetaan riittävästä pukeutumisesta</w:t>
            </w:r>
          </w:p>
          <w:p w14:paraId="4686EFEC" w14:textId="77777777" w:rsidR="00660F91" w:rsidRDefault="00660F91" w:rsidP="00AB595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Tarvittaessa meritautilääkityksen ottaminen 1 tunti ennen harjoituksen alkua.</w:t>
            </w:r>
          </w:p>
          <w:p w14:paraId="4686EFED" w14:textId="77777777" w:rsidR="00660F91" w:rsidRPr="006E598F" w:rsidRDefault="00660F91" w:rsidP="00AB595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Pelastuspukujen ja pelastusliivien pukeminen.</w:t>
            </w:r>
          </w:p>
        </w:tc>
      </w:tr>
      <w:tr w:rsidR="00660F91" w:rsidRPr="006E598F" w14:paraId="4686EFF4" w14:textId="77777777">
        <w:tc>
          <w:tcPr>
            <w:tcW w:w="392" w:type="dxa"/>
            <w:shd w:val="clear" w:color="auto" w:fill="FFFF00"/>
          </w:tcPr>
          <w:p w14:paraId="4686EFEF" w14:textId="77777777" w:rsidR="00660F91" w:rsidRPr="006E598F" w:rsidRDefault="00660F91" w:rsidP="00AB595D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4686EFF0" w14:textId="77777777" w:rsidR="00660F91" w:rsidRPr="006E598F" w:rsidRDefault="00660F91" w:rsidP="00AB595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Siirtyminen pelastuslautalle</w:t>
            </w:r>
          </w:p>
          <w:p w14:paraId="4686EFF1" w14:textId="77777777" w:rsidR="00660F91" w:rsidRDefault="00660F91" w:rsidP="00AB595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Harjoitukseen osallistujat kuljetetaan lautan läheisyyteen veneellä</w:t>
            </w:r>
          </w:p>
          <w:p w14:paraId="4686EFF2" w14:textId="77777777" w:rsidR="00660F91" w:rsidRDefault="00660F91" w:rsidP="00AB595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Veteen hyppääminen pelastautumishypyllä</w:t>
            </w:r>
          </w:p>
          <w:p w14:paraId="4686EFF3" w14:textId="77777777" w:rsidR="00660F91" w:rsidRPr="00986C05" w:rsidRDefault="00660F91" w:rsidP="00AB595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Uinti lautalle matouinnilla (esim. 200 m)</w:t>
            </w:r>
          </w:p>
        </w:tc>
      </w:tr>
      <w:tr w:rsidR="00660F91" w:rsidRPr="006E598F" w14:paraId="4686F000" w14:textId="77777777">
        <w:tc>
          <w:tcPr>
            <w:tcW w:w="392" w:type="dxa"/>
            <w:shd w:val="clear" w:color="auto" w:fill="FF0000"/>
          </w:tcPr>
          <w:p w14:paraId="4686EFF5" w14:textId="77777777" w:rsidR="00660F91" w:rsidRPr="006E598F" w:rsidRDefault="00660F91" w:rsidP="00AB595D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4686EFF6" w14:textId="77777777" w:rsidR="00660F91" w:rsidRPr="006D61E6" w:rsidRDefault="00660F91" w:rsidP="00AB595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Toiminta pelastuslautalla</w:t>
            </w:r>
          </w:p>
          <w:p w14:paraId="4686EFF7" w14:textId="77777777" w:rsidR="00660F91" w:rsidRDefault="00660F91" w:rsidP="00AB595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Muiden avustaminen lauttaan nousussa.</w:t>
            </w:r>
          </w:p>
          <w:p w14:paraId="4686EFF8" w14:textId="77777777" w:rsidR="00660F91" w:rsidRDefault="00660F91" w:rsidP="00AB595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Meritautipillerin ottaminen. </w:t>
            </w:r>
          </w:p>
          <w:p w14:paraId="4686EFF9" w14:textId="77777777" w:rsidR="00660F91" w:rsidRDefault="00660F91" w:rsidP="00AB595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Lautan tyhjentäminen vedestä. </w:t>
            </w:r>
          </w:p>
          <w:p w14:paraId="4686EFFA" w14:textId="77777777" w:rsidR="00660F91" w:rsidRDefault="00660F91" w:rsidP="00AB595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Ensiapu loukkaantuneille. </w:t>
            </w:r>
          </w:p>
          <w:p w14:paraId="4686EFFB" w14:textId="77777777" w:rsidR="00660F91" w:rsidRDefault="00660F91" w:rsidP="00AB595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Tähystysjärjestelyt. </w:t>
            </w:r>
          </w:p>
          <w:p w14:paraId="4686EFFC" w14:textId="77777777" w:rsidR="00660F91" w:rsidRDefault="00660F91" w:rsidP="00AB595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Hypopussien käyttö.</w:t>
            </w:r>
          </w:p>
          <w:p w14:paraId="4686EFFD" w14:textId="77777777" w:rsidR="00660F91" w:rsidRDefault="00660F91" w:rsidP="00AB595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Hätämerkinantovälineiden käyttäminen tilanteen mukaan.</w:t>
            </w:r>
          </w:p>
          <w:p w14:paraId="4686EFFE" w14:textId="77777777" w:rsidR="00660F91" w:rsidRDefault="00660F91" w:rsidP="00AB595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Vastaantulevien ongelmien ratkaiseminen tiimityönä.</w:t>
            </w:r>
          </w:p>
          <w:p w14:paraId="4686EFFF" w14:textId="77777777" w:rsidR="00660F91" w:rsidRPr="00EE5465" w:rsidRDefault="00660F91" w:rsidP="00AB595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Lautalta poistuminen</w:t>
            </w:r>
          </w:p>
        </w:tc>
      </w:tr>
      <w:tr w:rsidR="00660F91" w:rsidRPr="006E598F" w14:paraId="4686F006" w14:textId="77777777">
        <w:tc>
          <w:tcPr>
            <w:tcW w:w="392" w:type="dxa"/>
            <w:shd w:val="clear" w:color="auto" w:fill="008000"/>
          </w:tcPr>
          <w:p w14:paraId="4686F001" w14:textId="77777777" w:rsidR="00660F91" w:rsidRPr="006E598F" w:rsidRDefault="00660F91" w:rsidP="00AB595D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4686F002" w14:textId="77777777" w:rsidR="00660F91" w:rsidRPr="006D61E6" w:rsidRDefault="00660F91" w:rsidP="00AB595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Lopetus ja palaute</w:t>
            </w:r>
          </w:p>
          <w:p w14:paraId="4686F003" w14:textId="77777777" w:rsidR="00660F91" w:rsidRDefault="00660F91" w:rsidP="00AB595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Mikä meni hyvin? </w:t>
            </w:r>
          </w:p>
          <w:p w14:paraId="4686F004" w14:textId="77777777" w:rsidR="00660F91" w:rsidRDefault="00660F91" w:rsidP="00AB595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Mitä pitää kehittää?</w:t>
            </w:r>
          </w:p>
          <w:p w14:paraId="4686F005" w14:textId="77777777" w:rsidR="00660F91" w:rsidRPr="00EE5465" w:rsidRDefault="00660F91" w:rsidP="00AB595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Varustehuolto </w:t>
            </w:r>
          </w:p>
        </w:tc>
      </w:tr>
    </w:tbl>
    <w:p w14:paraId="4686F007" w14:textId="77777777" w:rsidR="00660F91" w:rsidRPr="00DF0C1B" w:rsidRDefault="00660F91" w:rsidP="00DF0C1B">
      <w:pPr>
        <w:spacing w:after="0"/>
        <w:rPr>
          <w:vanish/>
        </w:rPr>
      </w:pP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</w:tblGrid>
      <w:tr w:rsidR="00660F91" w:rsidRPr="006E598F" w14:paraId="4686F009" w14:textId="77777777">
        <w:trPr>
          <w:trHeight w:val="841"/>
          <w:jc w:val="right"/>
        </w:trPr>
        <w:tc>
          <w:tcPr>
            <w:tcW w:w="959" w:type="dxa"/>
            <w:shd w:val="clear" w:color="auto" w:fill="4F81BD"/>
            <w:vAlign w:val="bottom"/>
          </w:tcPr>
          <w:p w14:paraId="4686F008" w14:textId="77777777" w:rsidR="00660F91" w:rsidRPr="006E598F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15 min</w:t>
            </w:r>
          </w:p>
        </w:tc>
      </w:tr>
      <w:tr w:rsidR="00660F91" w:rsidRPr="006E598F" w14:paraId="4686F00D" w14:textId="77777777">
        <w:trPr>
          <w:trHeight w:val="844"/>
          <w:jc w:val="right"/>
        </w:trPr>
        <w:tc>
          <w:tcPr>
            <w:tcW w:w="959" w:type="dxa"/>
            <w:shd w:val="clear" w:color="auto" w:fill="FFFF00"/>
            <w:vAlign w:val="bottom"/>
          </w:tcPr>
          <w:p w14:paraId="4686F00A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0B" w14:textId="77777777" w:rsidR="00660F91" w:rsidRDefault="00660F91" w:rsidP="007A3C24">
            <w:pPr>
              <w:spacing w:after="0" w:line="240" w:lineRule="auto"/>
              <w:rPr>
                <w:rFonts w:cs="Arial"/>
              </w:rPr>
            </w:pPr>
          </w:p>
          <w:p w14:paraId="4686F00C" w14:textId="77777777" w:rsidR="00660F91" w:rsidRPr="006E598F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20 m</w:t>
            </w:r>
            <w:r w:rsidRPr="00A50F1D">
              <w:rPr>
                <w:rFonts w:cs="Arial"/>
              </w:rPr>
              <w:t>in</w:t>
            </w:r>
          </w:p>
        </w:tc>
      </w:tr>
      <w:tr w:rsidR="00660F91" w:rsidRPr="006E598F" w14:paraId="4686F023" w14:textId="77777777">
        <w:trPr>
          <w:trHeight w:val="842"/>
          <w:jc w:val="right"/>
        </w:trPr>
        <w:tc>
          <w:tcPr>
            <w:tcW w:w="959" w:type="dxa"/>
            <w:shd w:val="clear" w:color="auto" w:fill="FF0000"/>
            <w:vAlign w:val="bottom"/>
          </w:tcPr>
          <w:p w14:paraId="4686F00E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0F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10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11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12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13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14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15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16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17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18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19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1A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1B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1C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1D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1E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1F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20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21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22" w14:textId="77777777" w:rsidR="00660F91" w:rsidRPr="006E598F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7-11 h</w:t>
            </w:r>
          </w:p>
        </w:tc>
      </w:tr>
      <w:tr w:rsidR="00660F91" w:rsidRPr="006E598F" w14:paraId="4686F029" w14:textId="77777777">
        <w:trPr>
          <w:trHeight w:val="840"/>
          <w:jc w:val="right"/>
        </w:trPr>
        <w:tc>
          <w:tcPr>
            <w:tcW w:w="959" w:type="dxa"/>
            <w:shd w:val="clear" w:color="auto" w:fill="008000"/>
            <w:vAlign w:val="bottom"/>
          </w:tcPr>
          <w:p w14:paraId="4686F024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25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26" w14:textId="77777777" w:rsidR="00660F91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4686F027" w14:textId="77777777" w:rsidR="00660F91" w:rsidRDefault="00660F91" w:rsidP="00AB595D">
            <w:pPr>
              <w:spacing w:after="0" w:line="240" w:lineRule="auto"/>
              <w:rPr>
                <w:rFonts w:cs="Arial"/>
              </w:rPr>
            </w:pPr>
          </w:p>
          <w:p w14:paraId="4686F028" w14:textId="77777777" w:rsidR="00660F91" w:rsidRPr="006E598F" w:rsidRDefault="00660F91" w:rsidP="00AB595D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30 min</w:t>
            </w:r>
          </w:p>
        </w:tc>
      </w:tr>
    </w:tbl>
    <w:p w14:paraId="4686F02A" w14:textId="77777777" w:rsidR="00660F91" w:rsidRPr="00A50F1D" w:rsidRDefault="00660F91" w:rsidP="00246E4E">
      <w:pPr>
        <w:spacing w:after="0" w:line="240" w:lineRule="auto"/>
        <w:rPr>
          <w:rFonts w:cs="Arial"/>
        </w:rPr>
      </w:pPr>
    </w:p>
    <w:p w14:paraId="4686F02B" w14:textId="77777777" w:rsidR="00660F91" w:rsidRDefault="00660F91" w:rsidP="006A679A"/>
    <w:sectPr w:rsidR="00660F91" w:rsidSect="00353D8A">
      <w:pgSz w:w="16838" w:h="11906" w:orient="landscape"/>
      <w:pgMar w:top="720" w:right="720" w:bottom="720" w:left="72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6F02E" w14:textId="77777777" w:rsidR="00BA65A4" w:rsidRDefault="00BA65A4" w:rsidP="00F36D2D">
      <w:pPr>
        <w:spacing w:after="0" w:line="240" w:lineRule="auto"/>
      </w:pPr>
      <w:r>
        <w:separator/>
      </w:r>
    </w:p>
  </w:endnote>
  <w:endnote w:type="continuationSeparator" w:id="0">
    <w:p w14:paraId="4686F02F" w14:textId="77777777" w:rsidR="00BA65A4" w:rsidRDefault="00BA65A4" w:rsidP="00F3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6F02C" w14:textId="77777777" w:rsidR="00BA65A4" w:rsidRDefault="00BA65A4" w:rsidP="00F36D2D">
      <w:pPr>
        <w:spacing w:after="0" w:line="240" w:lineRule="auto"/>
      </w:pPr>
      <w:r>
        <w:separator/>
      </w:r>
    </w:p>
  </w:footnote>
  <w:footnote w:type="continuationSeparator" w:id="0">
    <w:p w14:paraId="4686F02D" w14:textId="77777777" w:rsidR="00BA65A4" w:rsidRDefault="00BA65A4" w:rsidP="00F3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DEA"/>
    <w:multiLevelType w:val="hybridMultilevel"/>
    <w:tmpl w:val="B2E6B57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2373"/>
    <w:multiLevelType w:val="hybridMultilevel"/>
    <w:tmpl w:val="7A9663CC"/>
    <w:lvl w:ilvl="0" w:tplc="040B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1184634"/>
    <w:multiLevelType w:val="hybridMultilevel"/>
    <w:tmpl w:val="623E3CDA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9B49B3"/>
    <w:multiLevelType w:val="hybridMultilevel"/>
    <w:tmpl w:val="864EF6B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257E4"/>
    <w:multiLevelType w:val="hybridMultilevel"/>
    <w:tmpl w:val="0E86A85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D2FC6"/>
    <w:multiLevelType w:val="hybridMultilevel"/>
    <w:tmpl w:val="D5E40C1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2D"/>
    <w:rsid w:val="001744CC"/>
    <w:rsid w:val="001850F9"/>
    <w:rsid w:val="0018697E"/>
    <w:rsid w:val="001C3764"/>
    <w:rsid w:val="00246E4E"/>
    <w:rsid w:val="0025008B"/>
    <w:rsid w:val="00302701"/>
    <w:rsid w:val="00323EB3"/>
    <w:rsid w:val="00353826"/>
    <w:rsid w:val="00353D8A"/>
    <w:rsid w:val="003667B5"/>
    <w:rsid w:val="00380460"/>
    <w:rsid w:val="003F364F"/>
    <w:rsid w:val="0049557C"/>
    <w:rsid w:val="0052398A"/>
    <w:rsid w:val="00533D78"/>
    <w:rsid w:val="005A3F60"/>
    <w:rsid w:val="00660F91"/>
    <w:rsid w:val="00664E36"/>
    <w:rsid w:val="006A679A"/>
    <w:rsid w:val="006D61E6"/>
    <w:rsid w:val="006E598F"/>
    <w:rsid w:val="00710AF7"/>
    <w:rsid w:val="00772947"/>
    <w:rsid w:val="00772B39"/>
    <w:rsid w:val="007A3C24"/>
    <w:rsid w:val="007A7121"/>
    <w:rsid w:val="007F3812"/>
    <w:rsid w:val="008318D6"/>
    <w:rsid w:val="008868E8"/>
    <w:rsid w:val="00897035"/>
    <w:rsid w:val="008A57DD"/>
    <w:rsid w:val="008C0605"/>
    <w:rsid w:val="00986C05"/>
    <w:rsid w:val="009A3C1E"/>
    <w:rsid w:val="00A12A4C"/>
    <w:rsid w:val="00A34BA7"/>
    <w:rsid w:val="00A50F1D"/>
    <w:rsid w:val="00A85111"/>
    <w:rsid w:val="00A86456"/>
    <w:rsid w:val="00AB595D"/>
    <w:rsid w:val="00B81639"/>
    <w:rsid w:val="00B9722A"/>
    <w:rsid w:val="00B97E26"/>
    <w:rsid w:val="00BA0CCB"/>
    <w:rsid w:val="00BA65A4"/>
    <w:rsid w:val="00BD5CD9"/>
    <w:rsid w:val="00BF3E76"/>
    <w:rsid w:val="00C61A3D"/>
    <w:rsid w:val="00D349C7"/>
    <w:rsid w:val="00DA3E3A"/>
    <w:rsid w:val="00DF0C1B"/>
    <w:rsid w:val="00DF3364"/>
    <w:rsid w:val="00E368A3"/>
    <w:rsid w:val="00E82B8B"/>
    <w:rsid w:val="00E875F8"/>
    <w:rsid w:val="00EB0697"/>
    <w:rsid w:val="00EB3F24"/>
    <w:rsid w:val="00ED7F00"/>
    <w:rsid w:val="00EE5465"/>
    <w:rsid w:val="00EF0996"/>
    <w:rsid w:val="00F36D2D"/>
    <w:rsid w:val="00F63E87"/>
    <w:rsid w:val="00F76E05"/>
    <w:rsid w:val="00F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6EF75"/>
  <w14:defaultImageDpi w14:val="0"/>
  <w15:docId w15:val="{A9EE090D-9C64-42E2-95C1-D70C3253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F36D2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F36D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locked/>
    <w:rsid w:val="00F36D2D"/>
    <w:rPr>
      <w:rFonts w:ascii="Calibri" w:eastAsia="Times New Roman" w:hAnsi="Calibri"/>
    </w:rPr>
  </w:style>
  <w:style w:type="paragraph" w:styleId="Yltunniste">
    <w:name w:val="header"/>
    <w:basedOn w:val="Normaali"/>
    <w:link w:val="YltunnisteChar"/>
    <w:uiPriority w:val="99"/>
    <w:unhideWhenUsed/>
    <w:rsid w:val="00F36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link w:val="Yltunniste"/>
    <w:uiPriority w:val="99"/>
    <w:locked/>
    <w:rsid w:val="00F36D2D"/>
    <w:rPr>
      <w:rFonts w:ascii="Calibri" w:eastAsia="Times New Roman" w:hAnsi="Calibri"/>
    </w:rPr>
  </w:style>
  <w:style w:type="paragraph" w:styleId="Luettelokappale">
    <w:name w:val="List Paragraph"/>
    <w:basedOn w:val="Normaali"/>
    <w:uiPriority w:val="34"/>
    <w:qFormat/>
    <w:rsid w:val="008318D6"/>
    <w:pPr>
      <w:ind w:left="720"/>
      <w:contextualSpacing/>
    </w:pPr>
  </w:style>
  <w:style w:type="paragraph" w:customStyle="1" w:styleId="Vriksluettelo-korostus11">
    <w:name w:val="Värikäs luettelo - korostus 11"/>
    <w:basedOn w:val="Normaali"/>
    <w:rsid w:val="008C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7B36D6A52C7DC4EA836C1207062206F" ma:contentTypeVersion="2" ma:contentTypeDescription="Luo uusi asiakirja." ma:contentTypeScope="" ma:versionID="18c532c37878174206dc54df97982bac">
  <xsd:schema xmlns:xsd="http://www.w3.org/2001/XMLSchema" xmlns:xs="http://www.w3.org/2001/XMLSchema" xmlns:p="http://schemas.microsoft.com/office/2006/metadata/properties" xmlns:ns2="9ed839e3-38fa-4745-9ec8-d7df6e3564c3" targetNamespace="http://schemas.microsoft.com/office/2006/metadata/properties" ma:root="true" ma:fieldsID="3cbf1833b529590afa77ca6f49b53e9b" ns2:_="">
    <xsd:import namespace="9ed839e3-38fa-4745-9ec8-d7df6e3564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839e3-38fa-4745-9ec8-d7df6e3564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32349-64B8-4FE8-8C3D-D2DE38F608EC}"/>
</file>

<file path=customXml/itemProps2.xml><?xml version="1.0" encoding="utf-8"?>
<ds:datastoreItem xmlns:ds="http://schemas.openxmlformats.org/officeDocument/2006/customXml" ds:itemID="{D1DD4F1F-BB27-4D2E-B838-4854C6346CE3}"/>
</file>

<file path=customXml/itemProps3.xml><?xml version="1.0" encoding="utf-8"?>
<ds:datastoreItem xmlns:ds="http://schemas.openxmlformats.org/officeDocument/2006/customXml" ds:itemID="{23FBC4E4-D23C-45AA-B678-3432B0AFC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Simanainen</dc:creator>
  <cp:keywords/>
  <dc:description/>
  <cp:lastModifiedBy>Jaakko Heikkilä</cp:lastModifiedBy>
  <cp:revision>4</cp:revision>
  <cp:lastPrinted>2013-08-23T09:47:00Z</cp:lastPrinted>
  <dcterms:created xsi:type="dcterms:W3CDTF">2017-03-07T13:48:00Z</dcterms:created>
  <dcterms:modified xsi:type="dcterms:W3CDTF">2017-03-07T13:50:00Z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0x010100B7B36D6A52C7DC4EA836C1207062206F</vt:lpwstr>
  </property>
</Properties>
</file>